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2C8D" w14:textId="77777777" w:rsidR="00E57002" w:rsidRPr="00E57002" w:rsidRDefault="00E57002" w:rsidP="00E57002">
      <w:pPr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3BAB2"/>
          <w:sz w:val="32"/>
          <w:szCs w:val="32"/>
          <w:bdr w:val="none" w:sz="0" w:space="0" w:color="auto" w:frame="1"/>
        </w:rPr>
        <w:t>I</w:t>
      </w:r>
      <w:r w:rsidRPr="00E57002">
        <w:rPr>
          <w:rFonts w:ascii="Times New Roman" w:eastAsia="Times New Roman" w:hAnsi="Times New Roman" w:cs="Times New Roman"/>
          <w:b/>
          <w:bCs/>
          <w:color w:val="43BAB2"/>
          <w:sz w:val="32"/>
          <w:szCs w:val="32"/>
          <w:bdr w:val="none" w:sz="0" w:space="0" w:color="auto" w:frame="1"/>
        </w:rPr>
        <w:t>NFORMATION ABOUT PLAN INVESTMENTS</w:t>
      </w:r>
    </w:p>
    <w:p w14:paraId="6AFEE168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4F1A37DC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sz w:val="23"/>
          <w:szCs w:val="23"/>
        </w:rPr>
        <w:t xml:space="preserve">The following target investment asset allocation, as set forth in the Plan’s investment policy, provides diversification and is intended to meet the Plan’s long-term investment goals without undue risk.  The investment policy was developed and is continually monitored by the Board of Trustees together with its investment advisor, </w:t>
      </w:r>
      <w:r>
        <w:rPr>
          <w:rFonts w:ascii="Times New Roman" w:eastAsia="Times New Roman" w:hAnsi="Times New Roman" w:cs="Times New Roman"/>
          <w:sz w:val="23"/>
          <w:szCs w:val="23"/>
        </w:rPr>
        <w:t>Quan-Vest Consultants</w:t>
      </w:r>
      <w:r w:rsidRPr="00E5700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DDCE1C" w14:textId="77777777" w:rsidR="00E57002" w:rsidRPr="00E57002" w:rsidRDefault="00E57002" w:rsidP="00E57002">
      <w:pPr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4738E42F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002">
        <w:rPr>
          <w:rFonts w:ascii="Times New Roman" w:eastAsia="Times New Roman" w:hAnsi="Times New Roman" w:cs="Times New Roman"/>
          <w:b/>
          <w:bCs/>
          <w:color w:val="43BAB2"/>
          <w:sz w:val="24"/>
          <w:szCs w:val="24"/>
          <w:bdr w:val="none" w:sz="0" w:space="0" w:color="auto" w:frame="1"/>
        </w:rPr>
        <w:t>Target Allocation:                                                                                                  Range:</w:t>
      </w:r>
    </w:p>
    <w:p w14:paraId="6C96BB02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6D91370E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Equities: 62%                                                                                                             </w:t>
      </w:r>
    </w:p>
    <w:p w14:paraId="76FA13B0" w14:textId="77777777" w:rsid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(45% Domestic,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   40% - 50%</w:t>
      </w:r>
    </w:p>
    <w:p w14:paraId="72D22DA9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7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 International, 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        2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 - 1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</w:t>
      </w:r>
    </w:p>
    <w:p w14:paraId="042EADCD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0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 Global)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5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15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</w:t>
      </w:r>
    </w:p>
    <w:p w14:paraId="0DCE3943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             </w:t>
      </w:r>
    </w:p>
    <w:p w14:paraId="3B778420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Core Fixed Income: 15%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    10%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20%</w:t>
      </w:r>
    </w:p>
    <w:p w14:paraId="73148FB8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76DA8CB6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High Yield Fixed Income: 5.5%                                                                              0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.5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 - 10.5%</w:t>
      </w:r>
    </w:p>
    <w:p w14:paraId="39552086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11CD78A5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Real Estate: 10%                                                                                                        5% - 15%</w:t>
      </w:r>
    </w:p>
    <w:p w14:paraId="1299FBC1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385BDC3A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Infrastructure: 1.5%                                                                                                 0% -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6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.5%</w:t>
      </w:r>
    </w:p>
    <w:p w14:paraId="371C70FE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59278488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Private Equity: 3.5%                                                                                                 0% - 8.5%</w:t>
      </w:r>
    </w:p>
    <w:p w14:paraId="5C144174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101FD623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Private Debt: 2.5%                                                                                                    0% - 7.5%</w:t>
      </w:r>
    </w:p>
    <w:p w14:paraId="3066ABC5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color w:val="43BAB2"/>
          <w:sz w:val="23"/>
          <w:szCs w:val="23"/>
          <w:bdr w:val="none" w:sz="0" w:space="0" w:color="auto" w:frame="1"/>
        </w:rPr>
        <w:t> </w:t>
      </w:r>
    </w:p>
    <w:p w14:paraId="6DD8811A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002">
        <w:rPr>
          <w:rFonts w:ascii="Times New Roman" w:eastAsia="Times New Roman" w:hAnsi="Times New Roman" w:cs="Times New Roman"/>
          <w:b/>
          <w:bCs/>
          <w:color w:val="43BAB2"/>
          <w:sz w:val="24"/>
          <w:szCs w:val="24"/>
          <w:bdr w:val="none" w:sz="0" w:space="0" w:color="auto" w:frame="1"/>
        </w:rPr>
        <w:t>Benchmark Index </w:t>
      </w:r>
      <w:r w:rsidRPr="00E57002">
        <w:rPr>
          <w:rFonts w:ascii="Times New Roman" w:eastAsia="Times New Roman" w:hAnsi="Times New Roman" w:cs="Times New Roman"/>
          <w:color w:val="43BAB2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</w:t>
      </w:r>
      <w:r w:rsidRPr="00E57002">
        <w:rPr>
          <w:rFonts w:ascii="Times New Roman" w:eastAsia="Times New Roman" w:hAnsi="Times New Roman" w:cs="Times New Roman"/>
          <w:b/>
          <w:bCs/>
          <w:color w:val="43BAB2"/>
          <w:sz w:val="24"/>
          <w:szCs w:val="24"/>
          <w:bdr w:val="none" w:sz="0" w:space="0" w:color="auto" w:frame="1"/>
        </w:rPr>
        <w:t>Policy Index Weight</w:t>
      </w:r>
    </w:p>
    <w:p w14:paraId="25DDA8CD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43A178BE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Russell 3000 Index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 48.5%*</w:t>
      </w:r>
    </w:p>
    <w:p w14:paraId="24A1FAAD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751A76AB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MSCI ACWI ex-US Index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7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%</w:t>
      </w:r>
    </w:p>
    <w:p w14:paraId="13476454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34E094B4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MSCI ACWI Index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10%</w:t>
      </w:r>
    </w:p>
    <w:p w14:paraId="26B57AFC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1B3BD4DD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Bloomberg Barclays                                                                                                 </w:t>
      </w:r>
      <w:r w:rsidR="00E50F6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17.5%**</w:t>
      </w:r>
    </w:p>
    <w:p w14:paraId="6161E86B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041E2B50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Bloomberg Barclays HY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 </w:t>
      </w:r>
      <w:r w:rsidR="00E50F6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5.5%</w:t>
      </w:r>
    </w:p>
    <w:p w14:paraId="147058C2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3509C2E6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NFI ODCE Index (Net)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 10%</w:t>
      </w:r>
    </w:p>
    <w:p w14:paraId="5286C2C7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</w:p>
    <w:p w14:paraId="16EB223D" w14:textId="77777777" w:rsidR="00E57002" w:rsidRPr="00E57002" w:rsidRDefault="00E57002" w:rsidP="00E57002">
      <w:pPr>
        <w:jc w:val="lef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CPI + 5%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Pr="00E5700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   1.5%</w:t>
      </w:r>
    </w:p>
    <w:p w14:paraId="558D3EBF" w14:textId="4D695DA8" w:rsidR="00E57002" w:rsidRPr="00E57002" w:rsidRDefault="00E57002" w:rsidP="00370667">
      <w:pPr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26AD1542" w14:textId="77777777" w:rsidR="00E57002" w:rsidRPr="00E57002" w:rsidRDefault="00E57002" w:rsidP="00370667">
      <w:pPr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color w:val="43BAB2"/>
          <w:sz w:val="23"/>
          <w:szCs w:val="23"/>
          <w:bdr w:val="none" w:sz="0" w:space="0" w:color="auto" w:frame="1"/>
        </w:rPr>
        <w:t>*Includes 3.5% allocation to Private Equities.</w:t>
      </w:r>
    </w:p>
    <w:p w14:paraId="5F385988" w14:textId="742BBFC8" w:rsidR="00002388" w:rsidRPr="00370667" w:rsidRDefault="00E57002" w:rsidP="00370667">
      <w:pPr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57002">
        <w:rPr>
          <w:rFonts w:ascii="Times New Roman" w:eastAsia="Times New Roman" w:hAnsi="Times New Roman" w:cs="Times New Roman"/>
          <w:b/>
          <w:bCs/>
          <w:color w:val="43BAB2"/>
          <w:sz w:val="23"/>
          <w:szCs w:val="23"/>
          <w:bdr w:val="none" w:sz="0" w:space="0" w:color="auto" w:frame="1"/>
        </w:rPr>
        <w:t>**Includes 2.5% allocation to Private Debt</w:t>
      </w:r>
    </w:p>
    <w:sectPr w:rsidR="00002388" w:rsidRPr="00370667" w:rsidSect="004201C5">
      <w:pgSz w:w="12240" w:h="15840" w:code="1"/>
      <w:pgMar w:top="2880" w:right="1080" w:bottom="1080" w:left="1080" w:header="0" w:footer="720" w:gutter="0"/>
      <w:paperSrc w:first="257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02"/>
    <w:rsid w:val="00002388"/>
    <w:rsid w:val="00370667"/>
    <w:rsid w:val="004201C5"/>
    <w:rsid w:val="005F25C2"/>
    <w:rsid w:val="00B92459"/>
    <w:rsid w:val="00E50F6F"/>
    <w:rsid w:val="00E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C252"/>
  <w15:chartTrackingRefBased/>
  <w15:docId w15:val="{C838C03D-43DB-4C20-8198-1EF2E23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00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2459"/>
    <w:pPr>
      <w:framePr w:w="7920" w:h="1980" w:hRule="exact" w:hSpace="180" w:wrap="auto" w:hAnchor="page" w:xAlign="center" w:yAlign="bottom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E570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002"/>
    <w:rPr>
      <w:color w:val="0000FF"/>
      <w:u w:val="single"/>
    </w:rPr>
  </w:style>
  <w:style w:type="paragraph" w:customStyle="1" w:styleId="font9">
    <w:name w:val="font_9"/>
    <w:basedOn w:val="Normal"/>
    <w:rsid w:val="00E570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Castle</dc:creator>
  <cp:keywords/>
  <dc:description/>
  <cp:lastModifiedBy>Nathan Ricker</cp:lastModifiedBy>
  <cp:revision>2</cp:revision>
  <cp:lastPrinted>2020-11-04T21:00:00Z</cp:lastPrinted>
  <dcterms:created xsi:type="dcterms:W3CDTF">2020-11-04T20:50:00Z</dcterms:created>
  <dcterms:modified xsi:type="dcterms:W3CDTF">2020-11-04T21:15:00Z</dcterms:modified>
</cp:coreProperties>
</file>